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Aasmundstad Eric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 FIRST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NODK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with time-based vesting and will be deferred until after separation from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include 12,624 restricted stock units that will be deferred until after separation from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Maki,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267" TargetMode="External"/><Relationship Id="rId5" Type="http://schemas.openxmlformats.org/officeDocument/2006/relationships/hyperlink" Target="http://www.sec.gov/cgi-bin/browse-edgar?action=getcompany&amp;CIK=0001681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3283</Characters>
  <CharactersWithSpaces>3825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