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Launer Cindy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 FIRST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FARGO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NI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NODK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represented by restricted stock units with time-based vesting and will be deferred until after separation from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include 20,724 restricted stock units that will be deferred until after separation from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Maki,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4835" TargetMode="External"/><Relationship Id="rId5" Type="http://schemas.openxmlformats.org/officeDocument/2006/relationships/hyperlink" Target="http://www.sec.gov/cgi-bin/browse-edgar?action=getcompany&amp;CIK=0001681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3277</Characters>
  <CharactersWithSpaces>3818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